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1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项目组长任命书</w:t>
      </w:r>
    </w:p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" w:right="-42" w:rightChars="-20" w:firstLine="669" w:firstLineChars="239"/>
        <w:textAlignment w:val="auto"/>
        <w:outlineLvl w:val="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根据本机构过程控制手册的工作程序与授权办法，现对开展本项目工作的负责人进行任命及授权。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/>
        <w:textAlignment w:val="auto"/>
        <w:outlineLvl w:val="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任命</w:t>
      </w:r>
    </w:p>
    <w:p>
      <w:pPr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现任命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李毅雄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同志，担</w:t>
      </w:r>
      <w:r>
        <w:rPr>
          <w:rFonts w:hint="eastAsia" w:ascii="宋体" w:hAnsi="宋体" w:eastAsia="宋体" w:cs="Times New Roman"/>
          <w:sz w:val="28"/>
          <w:szCs w:val="28"/>
        </w:rPr>
        <w:t>任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 xml:space="preserve"> </w:t>
      </w:r>
      <w:r>
        <w:rPr>
          <w:rFonts w:hint="eastAsia" w:ascii="宋体" w:hAnsi="宋体" w:cs="Times New Roman"/>
          <w:sz w:val="28"/>
          <w:szCs w:val="28"/>
          <w:u w:val="single"/>
          <w:lang w:eastAsia="zh-CN"/>
        </w:rPr>
        <w:t>玉溪玉象包装材料有限公司安全现状评价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>项目组长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 w:firstLine="669" w:firstLineChars="239"/>
        <w:textAlignment w:val="auto"/>
        <w:outlineLvl w:val="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</w:t>
      </w:r>
      <w:r>
        <w:rPr>
          <w:rFonts w:hint="eastAsia" w:ascii="宋体" w:hAnsi="宋体"/>
          <w:sz w:val="28"/>
          <w:szCs w:val="28"/>
          <w:lang w:val="en-US" w:eastAsia="zh-CN"/>
        </w:rPr>
        <w:t>项目组长</w:t>
      </w:r>
      <w:r>
        <w:rPr>
          <w:rFonts w:hint="eastAsia" w:ascii="宋体" w:hAnsi="宋体"/>
          <w:sz w:val="28"/>
          <w:szCs w:val="28"/>
        </w:rPr>
        <w:t>授权范围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" w:right="-42" w:rightChars="-20" w:firstLine="669" w:firstLineChars="239"/>
        <w:textAlignment w:val="auto"/>
        <w:outlineLvl w:val="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1、负责主持该项目小组的组建及工作开展，行使组内人员配置、任务安排、资金使用、设备使用及管理权。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" w:right="-42" w:rightChars="-20" w:firstLine="669" w:firstLineChars="239"/>
        <w:textAlignment w:val="auto"/>
        <w:outlineLvl w:val="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2、负责制定项目工作计划，对服务项目作出开展、暂停、终止的意见。涉及重大隐患的及时向机构报告，并提出小组倾向意见。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" w:right="-42" w:rightChars="-20" w:firstLine="669" w:firstLineChars="239"/>
        <w:textAlignment w:val="auto"/>
        <w:outlineLvl w:val="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3、负责安排对项目委托单位的意见交换、咨询、提供对策措施等服务工作。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" w:right="-42" w:rightChars="-20" w:firstLine="669" w:firstLineChars="239"/>
        <w:textAlignment w:val="auto"/>
        <w:outlineLvl w:val="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4、负责对项目组提交的报告给出总体结论及对策措施与建议。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 w:firstLine="562" w:firstLineChars="200"/>
        <w:textAlignment w:val="auto"/>
        <w:outlineLvl w:val="9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此任命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 w:firstLine="3907" w:firstLineChars="1390"/>
        <w:textAlignment w:val="auto"/>
        <w:outlineLvl w:val="9"/>
        <w:rPr>
          <w:rFonts w:hint="eastAsia" w:ascii="宋体" w:hAnsi="宋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 w:firstLine="3907" w:firstLineChars="1390"/>
        <w:textAlignment w:val="auto"/>
        <w:outlineLvl w:val="9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 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b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20243</w:t>
      </w:r>
      <w:r>
        <w:rPr>
          <w:rFonts w:hint="eastAsia" w:ascii="宋体" w:hAnsi="宋体"/>
          <w:b/>
          <w:sz w:val="28"/>
          <w:szCs w:val="28"/>
        </w:rPr>
        <w:t xml:space="preserve"> 年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10 </w:t>
      </w:r>
      <w:r>
        <w:rPr>
          <w:rFonts w:hint="eastAsia" w:ascii="宋体" w:hAnsi="宋体"/>
          <w:b/>
          <w:sz w:val="28"/>
          <w:szCs w:val="28"/>
        </w:rPr>
        <w:t>月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15</w:t>
      </w:r>
      <w:r>
        <w:rPr>
          <w:rFonts w:hint="eastAsia" w:ascii="宋体" w:hAnsi="宋体"/>
          <w:b/>
          <w:sz w:val="28"/>
          <w:szCs w:val="28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 w:firstLine="3907" w:firstLineChars="1390"/>
        <w:textAlignment w:val="auto"/>
        <w:outlineLvl w:val="9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  基本情况记录表</w:t>
      </w:r>
    </w:p>
    <w:p>
      <w:pPr>
        <w:pStyle w:val="4"/>
        <w:spacing w:before="0" w:after="0" w:line="360" w:lineRule="auto"/>
        <w:jc w:val="both"/>
        <w:rPr>
          <w:rFonts w:hint="eastAsia" w:ascii="宋体" w:hAnsi="宋体"/>
          <w:sz w:val="28"/>
          <w:szCs w:val="28"/>
        </w:rPr>
      </w:pPr>
      <w:bookmarkStart w:id="0" w:name="_Toc256599748"/>
      <w:bookmarkStart w:id="1" w:name="_Toc132776019"/>
      <w:r>
        <w:rPr>
          <w:rFonts w:hint="eastAsia" w:ascii="宋体" w:hAnsi="宋体"/>
          <w:sz w:val="28"/>
          <w:szCs w:val="32"/>
        </w:rPr>
        <w:t>企业</w:t>
      </w:r>
      <w:r>
        <w:rPr>
          <w:rFonts w:hint="eastAsia" w:ascii="宋体" w:hAnsi="宋体"/>
          <w:sz w:val="28"/>
          <w:szCs w:val="28"/>
        </w:rPr>
        <w:t>概况</w:t>
      </w:r>
      <w:bookmarkEnd w:id="0"/>
      <w:bookmarkEnd w:id="1"/>
    </w:p>
    <w:p>
      <w:pPr>
        <w:ind w:firstLine="560" w:firstLineChars="200"/>
        <w:rPr>
          <w:rFonts w:hint="eastAsia" w:ascii="宋体" w:hAnsi="宋体"/>
          <w:sz w:val="28"/>
          <w:szCs w:val="28"/>
          <w:u w:val="single"/>
        </w:rPr>
      </w:pPr>
      <w:bookmarkStart w:id="2" w:name="_Toc235850795"/>
      <w:bookmarkStart w:id="3" w:name="_Toc256599749"/>
      <w:r>
        <w:rPr>
          <w:rFonts w:hint="eastAsia" w:ascii="宋体" w:hAnsi="宋体"/>
          <w:sz w:val="28"/>
          <w:szCs w:val="28"/>
        </w:rPr>
        <w:t>项目名称：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  <w:r>
        <w:rPr>
          <w:rFonts w:hint="eastAsia" w:ascii="宋体" w:hAnsi="宋体" w:cs="Times New Roman"/>
          <w:sz w:val="28"/>
          <w:szCs w:val="28"/>
          <w:u w:val="single"/>
          <w:lang w:val="en-US" w:eastAsia="zh-CN"/>
        </w:rPr>
        <w:t>玉溪玉象包装材料有限公司安全现状评价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>报告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  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</w:p>
    <w:p>
      <w:pPr>
        <w:ind w:firstLine="560" w:firstLineChars="200"/>
        <w:rPr>
          <w:rFonts w:hint="eastAsia" w:ascii="宋体" w:hAnsi="宋体"/>
          <w:sz w:val="18"/>
          <w:szCs w:val="18"/>
          <w:u w:val="single"/>
        </w:rPr>
      </w:pPr>
      <w:r>
        <w:rPr>
          <w:rFonts w:hint="eastAsia" w:ascii="宋体" w:hAnsi="宋体"/>
          <w:sz w:val="28"/>
          <w:szCs w:val="28"/>
        </w:rPr>
        <w:t>项目类型</w:t>
      </w:r>
      <w:r>
        <w:rPr>
          <w:rFonts w:hint="eastAsia" w:ascii="宋体" w:hAnsi="宋体"/>
          <w:sz w:val="28"/>
          <w:szCs w:val="28"/>
          <w:u w:val="none"/>
        </w:rPr>
        <w:t>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安全现状评价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企业性质：</w:t>
      </w:r>
      <w:r>
        <w:rPr>
          <w:rFonts w:hint="eastAsia" w:ascii="宋体" w:hAnsi="宋体"/>
          <w:sz w:val="21"/>
          <w:szCs w:val="21"/>
          <w:u w:val="single"/>
        </w:rPr>
        <w:t xml:space="preserve"> </w:t>
      </w:r>
      <w:r>
        <w:rPr>
          <w:color w:val="000000" w:themeColor="text1"/>
          <w:sz w:val="16"/>
          <w:szCs w:val="21"/>
          <w:u w:val="single"/>
          <w14:textFill>
            <w14:solidFill>
              <w14:schemeClr w14:val="tx1"/>
            </w14:solidFill>
          </w14:textFill>
        </w:rPr>
        <w:t>有限责任公司（自然人投资或控股）</w:t>
      </w:r>
      <w:r>
        <w:rPr>
          <w:rFonts w:hint="eastAsia" w:ascii="宋体" w:hAnsi="宋体" w:eastAsia="宋体" w:cs="Times New Roman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16"/>
          <w:szCs w:val="16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 xml:space="preserve">   </w:t>
      </w:r>
    </w:p>
    <w:p>
      <w:pPr>
        <w:ind w:firstLine="560" w:firstLineChars="200"/>
        <w:rPr>
          <w:rFonts w:hint="eastAsia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投资金额</w:t>
      </w:r>
      <w:r>
        <w:rPr>
          <w:rFonts w:hint="eastAsia" w:ascii="宋体" w:hAnsi="宋体"/>
          <w:sz w:val="28"/>
          <w:szCs w:val="28"/>
          <w:u w:val="none"/>
        </w:rPr>
        <w:t>：</w:t>
      </w:r>
      <w:r>
        <w:rPr>
          <w:rFonts w:hint="eastAsia"/>
          <w:color w:val="000000" w:themeColor="text1"/>
          <w:szCs w:val="28"/>
          <w:u w:val="single"/>
          <w14:textFill>
            <w14:solidFill>
              <w14:schemeClr w14:val="tx1"/>
            </w14:solidFill>
          </w14:textFill>
        </w:rPr>
        <w:t>叁</w:t>
      </w:r>
      <w:r>
        <w:rPr>
          <w:color w:val="000000" w:themeColor="text1"/>
          <w:szCs w:val="28"/>
          <w:u w:val="single"/>
          <w14:textFill>
            <w14:solidFill>
              <w14:schemeClr w14:val="tx1"/>
            </w14:solidFill>
          </w14:textFill>
        </w:rPr>
        <w:t>佰万元整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法定代表人：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谢云松           </w:t>
      </w:r>
    </w:p>
    <w:p>
      <w:pPr>
        <w:ind w:firstLine="560" w:firstLineChars="200"/>
        <w:rPr>
          <w:rFonts w:hint="eastAsia" w:ascii="宋体" w:hAnsi="宋体" w:eastAsia="宋体" w:cs="Times New Roman"/>
          <w:sz w:val="24"/>
          <w:szCs w:val="24"/>
          <w:u w:val="single"/>
        </w:rPr>
      </w:pPr>
      <w:r>
        <w:rPr>
          <w:rFonts w:hint="eastAsia" w:ascii="宋体" w:hAnsi="宋体"/>
          <w:sz w:val="28"/>
          <w:szCs w:val="28"/>
        </w:rPr>
        <w:t>住所：</w:t>
      </w:r>
      <w:r>
        <w:rPr>
          <w:rFonts w:hint="eastAsia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/>
          <w:color w:val="000000" w:themeColor="text1"/>
          <w:szCs w:val="28"/>
          <w:u w:val="single"/>
          <w14:textFill>
            <w14:solidFill>
              <w14:schemeClr w14:val="tx1"/>
            </w14:solidFill>
          </w14:textFill>
        </w:rPr>
        <w:t>云南省玉溪市红塔区李棋街道办事处农贸市场旁</w:t>
      </w:r>
      <w:r>
        <w:rPr>
          <w:rFonts w:hint="eastAsia" w:ascii="宋体" w:hAnsi="宋体" w:eastAsia="宋体" w:cs="Times New Roman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4"/>
          <w:szCs w:val="24"/>
          <w:u w:val="single"/>
          <w:lang w:val="en-US" w:eastAsia="zh-CN"/>
        </w:rPr>
        <w:t xml:space="preserve">         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筹建或建成投产时间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000000" w:themeColor="text1"/>
          <w:szCs w:val="20"/>
          <w:u w:val="single"/>
          <w14:textFill>
            <w14:solidFill>
              <w14:schemeClr w14:val="tx1"/>
            </w14:solidFill>
          </w14:textFill>
        </w:rPr>
        <w:t>20</w:t>
      </w:r>
      <w:r>
        <w:rPr>
          <w:color w:val="000000" w:themeColor="text1"/>
          <w:szCs w:val="20"/>
          <w:u w:val="single"/>
          <w14:textFill>
            <w14:solidFill>
              <w14:schemeClr w14:val="tx1"/>
            </w14:solidFill>
          </w14:textFill>
        </w:rPr>
        <w:t>09</w:t>
      </w:r>
      <w:r>
        <w:rPr>
          <w:rFonts w:hint="eastAsia"/>
          <w:color w:val="000000" w:themeColor="text1"/>
          <w:szCs w:val="20"/>
          <w:u w:val="single"/>
          <w14:textFill>
            <w14:solidFill>
              <w14:schemeClr w14:val="tx1"/>
            </w14:solidFill>
          </w14:textFill>
        </w:rPr>
        <w:t>年0</w:t>
      </w:r>
      <w:r>
        <w:rPr>
          <w:color w:val="000000" w:themeColor="text1"/>
          <w:szCs w:val="20"/>
          <w:u w:val="single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Cs w:val="20"/>
          <w:u w:val="single"/>
          <w14:textFill>
            <w14:solidFill>
              <w14:schemeClr w14:val="tx1"/>
            </w14:solidFill>
          </w14:textFill>
        </w:rPr>
        <w:t>月07日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生产经营类型：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生产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</w:t>
      </w:r>
    </w:p>
    <w:p>
      <w:pPr>
        <w:ind w:firstLine="560" w:firstLineChars="200"/>
        <w:rPr>
          <w:rFonts w:hint="default" w:ascii="宋体" w:hAnsi="宋体" w:eastAsia="宋体" w:cs="Times New Roman"/>
          <w:sz w:val="16"/>
          <w:szCs w:val="16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生产能力或设计规模：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年产2000万只食品用塑料包装容器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/>
          <w:sz w:val="16"/>
          <w:szCs w:val="16"/>
          <w:u w:val="single"/>
          <w:lang w:val="en-US" w:eastAsia="zh-CN"/>
        </w:rPr>
        <w:t xml:space="preserve">         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生产经营的主要产品、物料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立白洗洁精</w:t>
      </w:r>
      <w:r>
        <w:rPr>
          <w:rFonts w:hint="eastAsia" w:ascii="宋体" w:hAnsi="宋体"/>
          <w:sz w:val="28"/>
          <w:szCs w:val="28"/>
          <w:u w:val="single"/>
        </w:rPr>
        <w:t>塑料包装容器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</w:p>
    <w:p>
      <w:pPr>
        <w:ind w:firstLine="560" w:firstLineChars="200"/>
        <w:rPr>
          <w:rFonts w:hint="eastAsia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证照或核准情况</w:t>
      </w:r>
      <w:r>
        <w:rPr>
          <w:rFonts w:hint="eastAsia" w:ascii="宋体" w:hAnsi="宋体"/>
          <w:sz w:val="28"/>
          <w:szCs w:val="28"/>
          <w:u w:val="single"/>
        </w:rPr>
        <w:t>：   营业执照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、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《项目投资备案证》禄丰县经济贸易和信息化局（备案项目编号：165323312220023）。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每年最大生产时间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300d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天，每天工作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3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班（8小时）。人员编制：管理人员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32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人、生产人员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102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人。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专职安全员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 xml:space="preserve">人，兼职安全员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0  </w:t>
      </w:r>
      <w:r>
        <w:rPr>
          <w:rFonts w:hint="eastAsia" w:ascii="宋体" w:hAnsi="宋体"/>
          <w:sz w:val="28"/>
          <w:szCs w:val="28"/>
        </w:rPr>
        <w:t>人。</w:t>
      </w:r>
    </w:p>
    <w:bookmarkEnd w:id="2"/>
    <w:bookmarkEnd w:id="3"/>
    <w:p>
      <w:pPr>
        <w:pStyle w:val="4"/>
        <w:spacing w:before="0" w:after="0" w:line="360" w:lineRule="auto"/>
        <w:jc w:val="left"/>
        <w:rPr>
          <w:rFonts w:hint="eastAsia" w:ascii="宋体" w:hAnsi="宋体"/>
          <w:sz w:val="28"/>
          <w:szCs w:val="32"/>
        </w:rPr>
      </w:pPr>
      <w:r>
        <w:rPr>
          <w:rFonts w:hint="eastAsia" w:ascii="宋体" w:hAnsi="宋体"/>
          <w:sz w:val="28"/>
          <w:szCs w:val="32"/>
        </w:rPr>
        <w:t>地理位置及交通</w:t>
      </w:r>
    </w:p>
    <w:p>
      <w:pPr>
        <w:ind w:left="141" w:leftChars="67" w:right="-92" w:rightChars="-44"/>
        <w:rPr>
          <w:rFonts w:hint="eastAsia" w:ascii="宋体" w:hAnsi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   </w:t>
      </w:r>
      <w:bookmarkStart w:id="33" w:name="_GoBack"/>
      <w:r>
        <w:rPr>
          <w:rFonts w:hint="eastAsia" w:ascii="宋体" w:hAnsi="宋体"/>
          <w:sz w:val="28"/>
          <w:szCs w:val="28"/>
        </w:rPr>
        <w:t>项目所在地距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玉溪市红塔区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城市约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公里，位于（</w:t>
      </w:r>
      <w:r>
        <w:rPr>
          <w:rFonts w:hint="eastAsia" w:ascii="宋体" w:hAnsi="宋体"/>
          <w:sz w:val="15"/>
          <w:szCs w:val="28"/>
        </w:rPr>
        <w:t>要求细化到小地名或社区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ascii="宋体" w:hAnsi="宋体"/>
          <w:sz w:val="36"/>
          <w:szCs w:val="36"/>
          <w:u w:val="single"/>
        </w:rPr>
        <w:t xml:space="preserve"> </w:t>
      </w:r>
      <w:r>
        <w:rPr>
          <w:rFonts w:hint="eastAsia"/>
          <w:color w:val="000000" w:themeColor="text1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玉溪市</w:t>
      </w:r>
      <w:r>
        <w:rPr>
          <w:rFonts w:hint="eastAsia"/>
          <w:color w:val="000000" w:themeColor="text1"/>
          <w:szCs w:val="28"/>
          <w:u w:val="single"/>
          <w14:textFill>
            <w14:solidFill>
              <w14:schemeClr w14:val="tx1"/>
            </w14:solidFill>
          </w14:textFill>
        </w:rPr>
        <w:t>红塔区李棋街道办事处农贸市场旁</w:t>
      </w:r>
      <w:r>
        <w:rPr>
          <w:rFonts w:hint="eastAsia" w:cs="仿宋_GB2312"/>
          <w:bCs/>
          <w:sz w:val="36"/>
          <w:szCs w:val="22"/>
          <w:u w:val="single"/>
          <w:lang w:val="en-US" w:eastAsia="zh-CN" w:bidi="ar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。地理坐标：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北纬24°38′7.27″，东经102°55′71.72″ </w:t>
      </w:r>
      <w:bookmarkEnd w:id="33"/>
    </w:p>
    <w:p>
      <w:pPr>
        <w:ind w:left="141" w:leftChars="67" w:right="-92" w:rightChars="-44"/>
        <w:rPr>
          <w:rFonts w:hint="eastAsia" w:ascii="宋体" w:hAnsi="宋体" w:eastAsia="宋体" w:cs="Times New Roman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sz w:val="28"/>
          <w:szCs w:val="28"/>
          <w:u w:val="none"/>
        </w:rPr>
        <w:t>交通：</w:t>
      </w:r>
      <w:r>
        <w:rPr>
          <w:rFonts w:hint="eastAsia"/>
          <w:color w:val="000000" w:themeColor="text1"/>
          <w:szCs w:val="28"/>
          <w:u w:val="single"/>
          <w14:textFill>
            <w14:solidFill>
              <w14:schemeClr w14:val="tx1"/>
            </w14:solidFill>
          </w14:textFill>
        </w:rPr>
        <w:t>位于</w:t>
      </w:r>
      <w:r>
        <w:rPr>
          <w:rFonts w:hint="eastAsia"/>
          <w:color w:val="000000" w:themeColor="text1"/>
          <w:szCs w:val="20"/>
          <w:u w:val="single"/>
          <w14:textFill>
            <w14:solidFill>
              <w14:schemeClr w14:val="tx1"/>
            </w14:solidFill>
          </w14:textFill>
        </w:rPr>
        <w:t>云南省玉溪市</w:t>
      </w:r>
      <w:r>
        <w:rPr>
          <w:rFonts w:hint="eastAsia"/>
          <w:color w:val="000000" w:themeColor="text1"/>
          <w:szCs w:val="28"/>
          <w:u w:val="single"/>
          <w14:textFill>
            <w14:solidFill>
              <w14:schemeClr w14:val="tx1"/>
            </w14:solidFill>
          </w14:textFill>
        </w:rPr>
        <w:t>红塔区李棋街道办事处农贸市场旁。</w:t>
      </w:r>
      <w:r>
        <w:rPr>
          <w:rFonts w:hint="eastAsia"/>
          <w:color w:val="000000" w:themeColor="text1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交通十分便利       </w:t>
      </w:r>
      <w:r>
        <w:rPr>
          <w:rFonts w:hint="eastAsia" w:ascii="宋体" w:hAnsi="宋体" w:eastAsia="宋体" w:cs="Times New Roman"/>
          <w:sz w:val="22"/>
          <w:szCs w:val="22"/>
          <w:u w:val="single"/>
          <w:lang w:val="en-US" w:eastAsia="zh-CN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</w:t>
      </w:r>
    </w:p>
    <w:tbl>
      <w:tblPr>
        <w:tblStyle w:val="21"/>
        <w:tblW w:w="0" w:type="auto"/>
        <w:tblInd w:w="4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0" w:hRule="atLeast"/>
        </w:trPr>
        <w:tc>
          <w:tcPr>
            <w:tcW w:w="783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交通位置示意图</w:t>
            </w:r>
          </w:p>
          <w:p>
            <w:pPr>
              <w:pStyle w:val="15"/>
              <w:rPr>
                <w:rFonts w:hint="eastAsia" w:ascii="宋体" w:hAnsi="宋体"/>
                <w:sz w:val="28"/>
                <w:szCs w:val="28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52705</wp:posOffset>
                  </wp:positionH>
                  <wp:positionV relativeFrom="paragraph">
                    <wp:posOffset>65405</wp:posOffset>
                  </wp:positionV>
                  <wp:extent cx="4702810" cy="3000375"/>
                  <wp:effectExtent l="0" t="0" r="6350" b="1905"/>
                  <wp:wrapTopAndBottom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2810" cy="300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sz w:val="13"/>
                <w:szCs w:val="28"/>
              </w:rPr>
              <w:t>注：为便于分析周边区域的情况、项目周边交通关系，手工绘出较小范围内的交通位置示意图，同时要求标出相对距离。</w:t>
            </w:r>
          </w:p>
        </w:tc>
      </w:tr>
    </w:tbl>
    <w:p>
      <w:pPr>
        <w:rPr>
          <w:rFonts w:hint="eastAsia"/>
        </w:rPr>
      </w:pPr>
    </w:p>
    <w:p>
      <w:pPr>
        <w:pStyle w:val="4"/>
        <w:spacing w:before="0" w:after="0" w:line="360" w:lineRule="auto"/>
        <w:rPr>
          <w:rFonts w:hint="eastAsia" w:ascii="宋体" w:hAnsi="宋体"/>
          <w:sz w:val="28"/>
          <w:szCs w:val="32"/>
        </w:rPr>
      </w:pPr>
      <w:bookmarkStart w:id="4" w:name="_Toc256599750"/>
      <w:bookmarkStart w:id="5" w:name="_Toc235850796"/>
      <w:bookmarkStart w:id="6" w:name="_Toc103418732"/>
      <w:bookmarkStart w:id="7" w:name="_Toc90283490"/>
      <w:bookmarkStart w:id="8" w:name="_Toc132776021"/>
      <w:bookmarkStart w:id="9" w:name="_Toc90281966"/>
      <w:bookmarkStart w:id="10" w:name="_Toc111601646"/>
      <w:r>
        <w:rPr>
          <w:rFonts w:hint="eastAsia" w:ascii="宋体" w:hAnsi="宋体"/>
          <w:sz w:val="28"/>
          <w:szCs w:val="32"/>
        </w:rPr>
        <w:t>自然地理</w:t>
      </w:r>
      <w:bookmarkEnd w:id="4"/>
      <w:bookmarkEnd w:id="5"/>
    </w:p>
    <w:bookmarkEnd w:id="6"/>
    <w:bookmarkEnd w:id="7"/>
    <w:bookmarkEnd w:id="8"/>
    <w:bookmarkEnd w:id="9"/>
    <w:bookmarkEnd w:id="10"/>
    <w:p>
      <w:pPr>
        <w:ind w:firstLine="560"/>
        <w:rPr>
          <w:rFonts w:hint="eastAsia" w:ascii="宋体" w:hAnsi="宋体" w:eastAsia="宋体" w:cs="Times New Roman"/>
          <w:sz w:val="18"/>
          <w:szCs w:val="11"/>
          <w:u w:val="singl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kern w:val="44"/>
          <w:sz w:val="28"/>
          <w:szCs w:val="32"/>
          <w:lang w:val="en-US" w:eastAsia="zh-CN" w:bidi="ar-SA"/>
        </w:rPr>
        <w:t>地形地貌：</w:t>
      </w:r>
      <w:r>
        <w:rPr>
          <w:rFonts w:hint="eastAsia" w:ascii="宋体" w:hAnsi="宋体"/>
          <w:sz w:val="28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是否提供了相关资料？（是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 是否有现场踏勘后或收集的的补充记录（是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</w:t>
      </w:r>
      <w:r>
        <w:rPr>
          <w:rFonts w:hint="eastAsia" w:ascii="宋体" w:hAnsi="宋体"/>
          <w:sz w:val="28"/>
          <w:u w:val="single"/>
        </w:rPr>
        <w:t>。</w:t>
      </w:r>
      <w:r>
        <w:rPr>
          <w:rFonts w:hint="eastAsia" w:ascii="宋体" w:hAnsi="宋体" w:eastAsia="宋体" w:cs="Times New Roman"/>
          <w:sz w:val="18"/>
          <w:szCs w:val="11"/>
          <w:u w:val="single"/>
          <w:lang w:val="en-US" w:eastAsia="zh-CN"/>
        </w:rPr>
        <w:t xml:space="preserve">玉溪玉象包装材料有限公司没有提供厂区地质资料。经评价组现场检查，厂区内未发现塌陷、开裂、下沉等地灾现象。      </w:t>
      </w:r>
      <w:r>
        <w:rPr>
          <w:rFonts w:hint="eastAsia" w:ascii="宋体" w:hAnsi="宋体" w:cs="Times New Roman"/>
          <w:sz w:val="18"/>
          <w:szCs w:val="11"/>
          <w:u w:val="single"/>
          <w:lang w:val="en-US" w:eastAsia="zh-CN"/>
        </w:rPr>
        <w:t xml:space="preserve">                                                    </w:t>
      </w:r>
      <w:r>
        <w:rPr>
          <w:rFonts w:hint="eastAsia" w:ascii="宋体" w:hAnsi="宋体" w:eastAsia="宋体" w:cs="Times New Roman"/>
          <w:sz w:val="18"/>
          <w:szCs w:val="11"/>
          <w:u w:val="single"/>
          <w:lang w:val="en-US" w:eastAsia="zh-CN"/>
        </w:rPr>
        <w:t xml:space="preserve">       </w:t>
      </w:r>
    </w:p>
    <w:p>
      <w:pPr>
        <w:rPr>
          <w:rFonts w:hint="eastAsia" w:ascii="宋体" w:hAnsi="宋体" w:cs="Times New Roman"/>
          <w:sz w:val="18"/>
          <w:szCs w:val="11"/>
          <w:u w:val="single"/>
          <w:lang w:val="en-US" w:eastAsia="zh-CN"/>
        </w:rPr>
      </w:pPr>
    </w:p>
    <w:p>
      <w:pPr>
        <w:rPr>
          <w:rFonts w:hint="eastAsia" w:ascii="宋体" w:hAnsi="宋体" w:cs="Times New Roman"/>
          <w:sz w:val="18"/>
          <w:szCs w:val="11"/>
          <w:u w:val="single"/>
          <w:lang w:val="en-US" w:eastAsia="zh-CN"/>
        </w:rPr>
      </w:pPr>
      <w:r>
        <w:rPr>
          <w:rFonts w:hint="eastAsia" w:ascii="宋体" w:hAnsi="宋体" w:cs="Times New Roman"/>
          <w:sz w:val="18"/>
          <w:szCs w:val="11"/>
          <w:u w:val="single"/>
          <w:lang w:val="en-US" w:eastAsia="zh-CN"/>
        </w:rPr>
        <w:t xml:space="preserve">                                                                                             </w:t>
      </w:r>
    </w:p>
    <w:p>
      <w:pPr>
        <w:spacing w:line="360" w:lineRule="auto"/>
        <w:ind w:firstLine="57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b/>
          <w:bCs/>
          <w:kern w:val="44"/>
          <w:sz w:val="28"/>
          <w:szCs w:val="32"/>
          <w:lang w:val="en-US" w:eastAsia="zh-CN" w:bidi="ar-SA"/>
        </w:rPr>
        <w:t>气象条件：</w:t>
      </w:r>
      <w:r>
        <w:rPr>
          <w:rFonts w:hint="eastAsia" w:ascii="宋体" w:hAnsi="宋体"/>
          <w:sz w:val="18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是否提供了相关资料？（是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 是否有现场踏勘后或收集的的补充记录（是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、否□）。</w:t>
      </w:r>
      <w:r>
        <w:rPr>
          <w:rFonts w:hint="eastAsia" w:ascii="宋体" w:hAnsi="宋体"/>
          <w:sz w:val="20"/>
          <w:szCs w:val="13"/>
          <w:u w:val="single"/>
          <w:lang w:val="en-US" w:eastAsia="zh-CN"/>
        </w:rPr>
        <w:t xml:space="preserve"> 红塔区气象局资料，全区多年平均气温15.6℃，最冷月（1月）平均温度8.4℃，最热月（7月）平均温度20.7℃，多年极端最低气温-5.5℃，无霜期233天，年平均降水量913.0ｍｍ，年日照时数2185.0小时。2010年全年平均气温17.4℃，极端最高气温32.2℃(5月6日)，极端最低气温0.5℃（12月17日）；全年日照时数为2370.5小时，日照率为54%；霜降从2010年11月3日始，2011年2月23日止，共113天；全年降雨155天，降雨量639.6毫米；平均相对湿度为72%，最小湿度为10%；主要气象灾害有旱灾、冰雹灾等。                                                               </w:t>
      </w:r>
    </w:p>
    <w:p>
      <w:pPr>
        <w:rPr>
          <w:rFonts w:hint="eastAsia" w:ascii="宋体" w:hAnsi="宋体"/>
          <w:sz w:val="18"/>
          <w:u w:val="single"/>
        </w:rPr>
      </w:pPr>
      <w:bookmarkStart w:id="11" w:name="_Toc235850798"/>
      <w:bookmarkStart w:id="12" w:name="_Toc256599752"/>
      <w:r>
        <w:rPr>
          <w:rFonts w:hint="eastAsia" w:ascii="宋体" w:hAnsi="宋体"/>
          <w:sz w:val="28"/>
          <w:szCs w:val="32"/>
        </w:rPr>
        <w:t xml:space="preserve">3.1  </w:t>
      </w:r>
      <w:r>
        <w:rPr>
          <w:rFonts w:hint="eastAsia" w:ascii="宋体" w:hAnsi="宋体" w:eastAsia="宋体" w:cs="Times New Roman"/>
          <w:b/>
          <w:bCs/>
          <w:kern w:val="44"/>
          <w:sz w:val="28"/>
          <w:szCs w:val="32"/>
          <w:lang w:val="en-US" w:eastAsia="zh-CN" w:bidi="ar-SA"/>
        </w:rPr>
        <w:t>项目地层</w:t>
      </w:r>
      <w:bookmarkEnd w:id="11"/>
      <w:bookmarkEnd w:id="12"/>
      <w:r>
        <w:rPr>
          <w:rFonts w:hint="eastAsia" w:ascii="宋体" w:hAnsi="宋体" w:eastAsia="宋体" w:cs="Times New Roman"/>
          <w:b/>
          <w:bCs/>
          <w:kern w:val="44"/>
          <w:sz w:val="28"/>
          <w:szCs w:val="32"/>
          <w:lang w:val="en-US" w:eastAsia="zh-CN" w:bidi="ar-SA"/>
        </w:rPr>
        <w:t xml:space="preserve">、构造简况 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是否提供了相关资料？（是□、否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） 是否有现场踏勘后或收集的的补充记录（是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A3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</w:t>
      </w:r>
      <w:r>
        <w:rPr>
          <w:rFonts w:hint="eastAsia" w:ascii="宋体" w:hAnsi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☑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）</w:t>
      </w:r>
      <w:r>
        <w:rPr>
          <w:rFonts w:hint="eastAsia" w:ascii="宋体" w:hAnsi="宋体"/>
          <w:sz w:val="18"/>
          <w:u w:val="single"/>
        </w:rPr>
        <w:t xml:space="preserve"> </w:t>
      </w:r>
    </w:p>
    <w:p>
      <w:pPr>
        <w:pStyle w:val="2"/>
        <w:rPr>
          <w:rFonts w:hint="eastAsia"/>
        </w:rPr>
      </w:pP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(1)地层                     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(2)构造                                     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(3)地质特征                                                  </w:t>
      </w:r>
    </w:p>
    <w:p>
      <w:pPr>
        <w:pStyle w:val="4"/>
        <w:numPr>
          <w:ilvl w:val="0"/>
          <w:numId w:val="0"/>
        </w:numPr>
        <w:spacing w:before="0" w:after="0" w:line="360" w:lineRule="auto"/>
        <w:ind w:leftChars="0"/>
        <w:jc w:val="both"/>
        <w:rPr>
          <w:rFonts w:hint="eastAsia" w:ascii="宋体" w:hAnsi="宋体"/>
          <w:sz w:val="28"/>
          <w:szCs w:val="32"/>
        </w:rPr>
      </w:pPr>
      <w:bookmarkStart w:id="13" w:name="_Toc235850802"/>
      <w:bookmarkStart w:id="14" w:name="_Toc256599756"/>
      <w:bookmarkStart w:id="15" w:name="_Toc235432216"/>
      <w:bookmarkStart w:id="16" w:name="_Toc180570117"/>
      <w:bookmarkStart w:id="17" w:name="_Toc235432047"/>
      <w:bookmarkStart w:id="18" w:name="_Toc212885237"/>
      <w:bookmarkStart w:id="19" w:name="_Toc90952520"/>
      <w:r>
        <w:rPr>
          <w:rFonts w:hint="eastAsia" w:ascii="宋体" w:hAnsi="宋体"/>
          <w:sz w:val="28"/>
          <w:szCs w:val="32"/>
        </w:rPr>
        <w:t>3.2   水文地质条件</w:t>
      </w:r>
      <w:bookmarkEnd w:id="13"/>
      <w:bookmarkEnd w:id="14"/>
      <w:r>
        <w:rPr>
          <w:rFonts w:hint="eastAsia" w:ascii="宋体" w:hAnsi="宋体"/>
          <w:sz w:val="18"/>
          <w:u w:val="single"/>
        </w:rPr>
        <w:t>是否提供了相关资料？（是</w:t>
      </w:r>
      <w:r>
        <w:rPr>
          <w:rFonts w:hint="eastAsia" w:ascii="宋体" w:hAnsi="宋体"/>
          <w:color w:val="000000"/>
          <w:sz w:val="18"/>
        </w:rPr>
        <w:t>□</w:t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） 是否有现场踏勘后或收集的的补充记录（是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t>□</w:t>
      </w:r>
      <w:r>
        <w:rPr>
          <w:rFonts w:hint="eastAsia" w:ascii="宋体" w:hAnsi="宋体"/>
          <w:sz w:val="18"/>
          <w:u w:val="single"/>
        </w:rPr>
        <w:t>） 。</w:t>
      </w:r>
    </w:p>
    <w:bookmarkEnd w:id="15"/>
    <w:bookmarkEnd w:id="16"/>
    <w:bookmarkEnd w:id="17"/>
    <w:bookmarkEnd w:id="18"/>
    <w:bookmarkEnd w:id="19"/>
    <w:p>
      <w:pPr>
        <w:rPr>
          <w:rFonts w:hint="eastAsia" w:ascii="宋体" w:hAnsi="宋体"/>
          <w:sz w:val="28"/>
          <w:szCs w:val="28"/>
          <w:u w:val="single"/>
        </w:rPr>
      </w:pPr>
      <w:bookmarkStart w:id="20" w:name="_Toc180570118"/>
      <w:bookmarkStart w:id="21" w:name="_Toc90952521"/>
      <w:bookmarkStart w:id="22" w:name="_Toc212885238"/>
      <w:bookmarkStart w:id="23" w:name="_Toc235432217"/>
      <w:bookmarkStart w:id="24" w:name="_Toc235850803"/>
      <w:bookmarkStart w:id="25" w:name="_Toc235432048"/>
      <w:r>
        <w:rPr>
          <w:rFonts w:hint="eastAsia" w:ascii="宋体" w:hAnsi="宋体"/>
          <w:sz w:val="28"/>
          <w:szCs w:val="28"/>
        </w:rPr>
        <w:t>(1)孔隙水赋存：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</w:t>
      </w:r>
      <w:r>
        <w:rPr>
          <w:rFonts w:hint="eastAsia" w:ascii="宋体" w:hAnsi="宋体" w:cs="Times New Roman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(2)岩溶水赋存：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</w:p>
    <w:p>
      <w:pPr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(3)地表水体：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  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(4)水文条件类型：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</w:t>
      </w:r>
    </w:p>
    <w:bookmarkEnd w:id="20"/>
    <w:bookmarkEnd w:id="21"/>
    <w:bookmarkEnd w:id="22"/>
    <w:bookmarkEnd w:id="23"/>
    <w:bookmarkEnd w:id="24"/>
    <w:bookmarkEnd w:id="25"/>
    <w:p>
      <w:pPr>
        <w:pStyle w:val="4"/>
        <w:numPr>
          <w:ilvl w:val="0"/>
          <w:numId w:val="0"/>
        </w:numPr>
        <w:spacing w:before="0" w:after="0" w:line="360" w:lineRule="auto"/>
        <w:ind w:leftChars="0"/>
        <w:jc w:val="both"/>
        <w:rPr>
          <w:rFonts w:hint="eastAsia" w:ascii="宋体" w:hAnsi="宋体"/>
          <w:sz w:val="18"/>
          <w:u w:val="single"/>
        </w:rPr>
      </w:pPr>
      <w:bookmarkStart w:id="26" w:name="_Toc180570119"/>
      <w:bookmarkStart w:id="27" w:name="_Toc212885239"/>
      <w:bookmarkStart w:id="28" w:name="_Toc235850804"/>
      <w:bookmarkStart w:id="29" w:name="_Toc235432218"/>
      <w:bookmarkStart w:id="30" w:name="_Toc256599758"/>
      <w:bookmarkStart w:id="31" w:name="_Toc90952522"/>
      <w:bookmarkStart w:id="32" w:name="_Toc235432049"/>
      <w:r>
        <w:rPr>
          <w:rFonts w:hint="eastAsia" w:ascii="宋体" w:hAnsi="宋体"/>
          <w:sz w:val="28"/>
          <w:szCs w:val="32"/>
        </w:rPr>
        <w:t>3.3  工程地质简况：</w:t>
      </w:r>
      <w:r>
        <w:rPr>
          <w:rFonts w:hint="eastAsia" w:ascii="宋体" w:hAnsi="宋体"/>
          <w:sz w:val="18"/>
          <w:u w:val="single"/>
        </w:rPr>
        <w:t>是否提供了相关资料？（是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A3"/>
      </w:r>
      <w:r>
        <w:rPr>
          <w:rFonts w:hint="eastAsia" w:ascii="宋体" w:hAnsi="宋体"/>
          <w:sz w:val="18"/>
          <w:u w:val="single"/>
        </w:rPr>
        <w:t>） 是否有现场踏勘后或收集的的补充记录（是</w:t>
      </w:r>
      <w:r>
        <w:rPr>
          <w:rFonts w:hint="eastAsia" w:ascii="宋体" w:hAnsi="宋体"/>
          <w:color w:val="000000"/>
          <w:sz w:val="18"/>
        </w:rPr>
        <w:sym w:font="Wingdings 2" w:char="00A3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） 。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(1)工程地质岩组：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(2)边坡稳定性分析：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(3)工程地质条件类型：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</w:t>
      </w:r>
    </w:p>
    <w:p>
      <w:pPr>
        <w:pStyle w:val="4"/>
        <w:numPr>
          <w:ilvl w:val="0"/>
          <w:numId w:val="0"/>
        </w:numPr>
        <w:spacing w:before="0" w:after="0" w:line="360" w:lineRule="auto"/>
        <w:ind w:leftChars="0"/>
        <w:jc w:val="both"/>
        <w:rPr>
          <w:rFonts w:hint="eastAsia" w:ascii="宋体" w:hAnsi="宋体"/>
          <w:sz w:val="28"/>
          <w:szCs w:val="32"/>
        </w:rPr>
      </w:pPr>
      <w:r>
        <w:rPr>
          <w:rFonts w:hint="eastAsia" w:ascii="宋体" w:hAnsi="宋体"/>
          <w:sz w:val="28"/>
          <w:szCs w:val="32"/>
        </w:rPr>
        <w:t>3．4环境地质</w:t>
      </w:r>
      <w:bookmarkEnd w:id="26"/>
      <w:r>
        <w:rPr>
          <w:rFonts w:hint="eastAsia" w:ascii="宋体" w:hAnsi="宋体"/>
          <w:sz w:val="28"/>
          <w:szCs w:val="32"/>
        </w:rPr>
        <w:t>条件</w:t>
      </w:r>
      <w:bookmarkEnd w:id="27"/>
      <w:bookmarkEnd w:id="28"/>
      <w:bookmarkEnd w:id="29"/>
      <w:bookmarkEnd w:id="30"/>
      <w:bookmarkEnd w:id="31"/>
      <w:bookmarkEnd w:id="32"/>
      <w:r>
        <w:rPr>
          <w:rFonts w:hint="eastAsia" w:ascii="宋体" w:hAnsi="宋体"/>
          <w:sz w:val="18"/>
          <w:u w:val="single"/>
        </w:rPr>
        <w:t>是否提供了相关资料？（是</w:t>
      </w:r>
      <w:r>
        <w:rPr>
          <w:rFonts w:hint="eastAsia" w:ascii="宋体" w:hAnsi="宋体"/>
          <w:color w:val="000000"/>
          <w:sz w:val="18"/>
        </w:rPr>
        <w:sym w:font="Wingdings 2" w:char="00A3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） 是否有现场踏勘后或收集的的补充记录（是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t>□</w:t>
      </w:r>
      <w:r>
        <w:rPr>
          <w:rFonts w:hint="eastAsia" w:ascii="宋体" w:hAnsi="宋体"/>
          <w:sz w:val="18"/>
          <w:u w:val="single"/>
        </w:rPr>
        <w:t>） 。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(1)调查区域的古滑坡体、地表塌陷及崩塌体情况：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(2)不良地质作用：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(3)对环境污染情况：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(4)历史名胜古迹和其它自然景观的影响情况：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</w:p>
    <w:p>
      <w:pPr>
        <w:ind w:left="1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(5)其它重要的民用或工业建筑的情况：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</w:p>
    <w:p>
      <w:pPr>
        <w:ind w:left="1"/>
        <w:rPr>
          <w:rFonts w:hint="eastAsia" w:ascii="宋体" w:hAnsi="宋体"/>
          <w:sz w:val="28"/>
          <w:szCs w:val="28"/>
          <w:u w:val="single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</w:rPr>
        <w:t>(6)环境地质条件类型: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简单类型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周边环境：</w:t>
      </w:r>
    </w:p>
    <w:p>
      <w:pPr>
        <w:spacing w:line="276" w:lineRule="auto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>厂区设有围墙同周边分隔。厂区西北面与废旧物品收购站相邻，约60m处为居民点；厂区东面与白龙路及路边店面相邻，对面为菜地；厂区南面与李棋盛来农贸市场相邻；厂区西面为盛来房地产办公业务用房。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</w:p>
    <w:tbl>
      <w:tblPr>
        <w:tblStyle w:val="21"/>
        <w:tblW w:w="8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5" w:hRule="atLeast"/>
          <w:jc w:val="center"/>
        </w:trPr>
        <w:tc>
          <w:tcPr>
            <w:tcW w:w="87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周边环境示意图</w:t>
            </w:r>
          </w:p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 w:val="28"/>
                <w:szCs w:val="28"/>
              </w:rPr>
            </w:pPr>
            <w: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74930</wp:posOffset>
                  </wp:positionV>
                  <wp:extent cx="5274310" cy="4089400"/>
                  <wp:effectExtent l="0" t="0" r="13970" b="10160"/>
                  <wp:wrapTopAndBottom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408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sz w:val="18"/>
                <w:szCs w:val="28"/>
              </w:rPr>
              <w:t>注：要尽量标出距离及相邻关系</w:t>
            </w:r>
          </w:p>
        </w:tc>
      </w:tr>
    </w:tbl>
    <w:p>
      <w:pPr>
        <w:pStyle w:val="4"/>
        <w:bidi w:val="0"/>
        <w:rPr>
          <w:rFonts w:hint="default"/>
          <w:lang w:val="en-US"/>
        </w:rPr>
      </w:pPr>
      <w:r>
        <w:rPr>
          <w:rFonts w:hint="eastAsia"/>
        </w:rPr>
        <w:t>生产区域平面布置情况</w:t>
      </w:r>
    </w:p>
    <w:p>
      <w:pPr>
        <w:rPr>
          <w:rFonts w:hint="default" w:ascii="宋体" w:hAnsi="宋体" w:eastAsia="宋体" w:cs="Times New Roman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生产区域平面布置情况：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>厂区较为平整。主要设置生产区、仓库、配电室、机修室、空调机组、办公区。功能区位于南端，主要设置配电室、机修室、空调机组。生产区位于东部，主要设置食品用塑料包装容器生产线。仓储区：成品仓库分别位于东边中部、西北端；辅料仓库、配料室、原料仓库位于中部。办公区位于东部北部，主要设置办公楼。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    </w:t>
      </w:r>
    </w:p>
    <w:tbl>
      <w:tblPr>
        <w:tblStyle w:val="21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4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drawing>
                <wp:inline distT="0" distB="0" distL="0" distR="0">
                  <wp:extent cx="5274310" cy="5182235"/>
                  <wp:effectExtent l="0" t="0" r="13970" b="1460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5182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3"/>
        </w:numPr>
        <w:bidi w:val="0"/>
        <w:rPr>
          <w:rFonts w:hint="eastAsia"/>
        </w:rPr>
        <w:sectPr>
          <w:pgSz w:w="11906" w:h="16838"/>
          <w:pgMar w:top="1440" w:right="1587" w:bottom="1440" w:left="1587" w:header="851" w:footer="992" w:gutter="0"/>
          <w:cols w:space="720" w:num="1"/>
          <w:rtlGutter w:val="0"/>
          <w:docGrid w:type="lines" w:linePitch="312" w:charSpace="0"/>
        </w:sectPr>
      </w:pPr>
    </w:p>
    <w:p>
      <w:pPr>
        <w:pStyle w:val="4"/>
        <w:bidi w:val="0"/>
        <w:rPr>
          <w:rFonts w:hint="eastAsia" w:ascii="宋体" w:hAnsi="宋体"/>
          <w:kern w:val="0"/>
          <w:sz w:val="28"/>
          <w:szCs w:val="28"/>
          <w:u w:val="single"/>
        </w:rPr>
      </w:pPr>
      <w:r>
        <w:rPr>
          <w:rStyle w:val="29"/>
          <w:rFonts w:hint="eastAsia" w:ascii="宋体" w:hAnsi="宋体" w:eastAsia="宋体" w:cs="宋体"/>
          <w:b/>
          <w:sz w:val="28"/>
          <w:szCs w:val="21"/>
        </w:rPr>
        <w:t>仓储区域平面布置情况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rPr>
          <w:rFonts w:hint="default" w:ascii="宋体" w:hAnsi="宋体" w:eastAsia="宋体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kern w:val="0"/>
          <w:sz w:val="28"/>
          <w:szCs w:val="28"/>
        </w:rPr>
        <w:t>仓储区域平面布置情况：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>仓储区：成品仓库分别位于东边中部、西北端；辅料仓库、配料室、原料仓库位于中部。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kern w:val="0"/>
          <w:sz w:val="28"/>
          <w:szCs w:val="28"/>
          <w:u w:val="single"/>
          <w:lang w:val="en-US" w:eastAsia="zh-CN"/>
        </w:rPr>
        <w:t xml:space="preserve">               </w:t>
      </w:r>
    </w:p>
    <w:tbl>
      <w:tblPr>
        <w:tblStyle w:val="21"/>
        <w:tblW w:w="8540" w:type="dxa"/>
        <w:tblInd w:w="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1" w:hRule="atLeast"/>
        </w:trPr>
        <w:tc>
          <w:tcPr>
            <w:tcW w:w="854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仓储区域平面布置草图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72390</wp:posOffset>
                  </wp:positionV>
                  <wp:extent cx="4802505" cy="4719320"/>
                  <wp:effectExtent l="0" t="0" r="13335" b="5080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2505" cy="4719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bidi w:val="0"/>
              <w:rPr>
                <w:rFonts w:hint="eastAsia"/>
                <w:kern w:val="2"/>
                <w:sz w:val="21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983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3802A1"/>
    <w:multiLevelType w:val="singleLevel"/>
    <w:tmpl w:val="B13802A1"/>
    <w:lvl w:ilvl="0" w:tentative="0">
      <w:start w:val="6"/>
      <w:numFmt w:val="decimal"/>
      <w:suff w:val="nothing"/>
      <w:lvlText w:val="%1．"/>
      <w:lvlJc w:val="left"/>
    </w:lvl>
  </w:abstractNum>
  <w:abstractNum w:abstractNumId="1">
    <w:nsid w:val="00000008"/>
    <w:multiLevelType w:val="multilevel"/>
    <w:tmpl w:val="00000008"/>
    <w:lvl w:ilvl="0" w:tentative="0">
      <w:start w:val="1"/>
      <w:numFmt w:val="japaneseCounting"/>
      <w:lvlText w:val="%1、"/>
      <w:lvlJc w:val="left"/>
      <w:pPr>
        <w:tabs>
          <w:tab w:val="left" w:pos="1438"/>
        </w:tabs>
        <w:ind w:left="143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58"/>
        </w:tabs>
        <w:ind w:left="155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78"/>
        </w:tabs>
        <w:ind w:left="1978" w:hanging="420"/>
      </w:pPr>
    </w:lvl>
    <w:lvl w:ilvl="3" w:tentative="0">
      <w:start w:val="1"/>
      <w:numFmt w:val="decimal"/>
      <w:lvlText w:val="%4."/>
      <w:lvlJc w:val="left"/>
      <w:pPr>
        <w:tabs>
          <w:tab w:val="left" w:pos="2398"/>
        </w:tabs>
        <w:ind w:left="239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18"/>
        </w:tabs>
        <w:ind w:left="281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38"/>
        </w:tabs>
        <w:ind w:left="3238" w:hanging="420"/>
      </w:pPr>
    </w:lvl>
    <w:lvl w:ilvl="6" w:tentative="0">
      <w:start w:val="1"/>
      <w:numFmt w:val="decimal"/>
      <w:lvlText w:val="%7."/>
      <w:lvlJc w:val="left"/>
      <w:pPr>
        <w:tabs>
          <w:tab w:val="left" w:pos="3658"/>
        </w:tabs>
        <w:ind w:left="365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78"/>
        </w:tabs>
        <w:ind w:left="407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98"/>
        </w:tabs>
        <w:ind w:left="4498" w:hanging="420"/>
      </w:pPr>
    </w:lvl>
  </w:abstractNum>
  <w:abstractNum w:abstractNumId="2">
    <w:nsid w:val="361F9C30"/>
    <w:multiLevelType w:val="multilevel"/>
    <w:tmpl w:val="361F9C30"/>
    <w:lvl w:ilvl="0" w:tentative="0">
      <w:start w:val="1"/>
      <w:numFmt w:val="decimal"/>
      <w:pStyle w:val="4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  <w:sz w:val="20"/>
        <w:szCs w:val="20"/>
      </w:rPr>
    </w:lvl>
    <w:lvl w:ilvl="2" w:tentative="0">
      <w:start w:val="1"/>
      <w:numFmt w:val="decimal"/>
      <w:pStyle w:val="6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8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9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0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1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2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1Y2JkYzQwOTU2OTFiNDAwMzIyNzk2NzNkMDI1MjAifQ=="/>
  </w:docVars>
  <w:rsids>
    <w:rsidRoot w:val="05E568EB"/>
    <w:rsid w:val="003D7CBB"/>
    <w:rsid w:val="014359D0"/>
    <w:rsid w:val="055921A8"/>
    <w:rsid w:val="056E0558"/>
    <w:rsid w:val="05E568EB"/>
    <w:rsid w:val="06B04020"/>
    <w:rsid w:val="07700B15"/>
    <w:rsid w:val="08F752BE"/>
    <w:rsid w:val="09DB78F5"/>
    <w:rsid w:val="0A6D17F1"/>
    <w:rsid w:val="0B696708"/>
    <w:rsid w:val="0C2920BD"/>
    <w:rsid w:val="0C9D1A8A"/>
    <w:rsid w:val="0CBA72A2"/>
    <w:rsid w:val="0D5869D3"/>
    <w:rsid w:val="0DC768CF"/>
    <w:rsid w:val="0F4A4767"/>
    <w:rsid w:val="0FBD49BA"/>
    <w:rsid w:val="1117715B"/>
    <w:rsid w:val="122A3390"/>
    <w:rsid w:val="12F47674"/>
    <w:rsid w:val="12FB51DB"/>
    <w:rsid w:val="16056255"/>
    <w:rsid w:val="16820483"/>
    <w:rsid w:val="16A2332E"/>
    <w:rsid w:val="17286643"/>
    <w:rsid w:val="17C04C67"/>
    <w:rsid w:val="1AE97C77"/>
    <w:rsid w:val="1BB435B3"/>
    <w:rsid w:val="1BD9704B"/>
    <w:rsid w:val="20501E36"/>
    <w:rsid w:val="21153DC5"/>
    <w:rsid w:val="23255A39"/>
    <w:rsid w:val="241C7962"/>
    <w:rsid w:val="24436A23"/>
    <w:rsid w:val="25CA2906"/>
    <w:rsid w:val="27F56137"/>
    <w:rsid w:val="2A310BBE"/>
    <w:rsid w:val="2A9D2E3B"/>
    <w:rsid w:val="2BEC6259"/>
    <w:rsid w:val="2CA0448A"/>
    <w:rsid w:val="2DAA6BF6"/>
    <w:rsid w:val="2E787516"/>
    <w:rsid w:val="2F0E7FC2"/>
    <w:rsid w:val="30C52FDC"/>
    <w:rsid w:val="31E167A3"/>
    <w:rsid w:val="32D72CC9"/>
    <w:rsid w:val="34847DE1"/>
    <w:rsid w:val="34E55B43"/>
    <w:rsid w:val="360466AE"/>
    <w:rsid w:val="38A33996"/>
    <w:rsid w:val="39F25DC0"/>
    <w:rsid w:val="3EF93488"/>
    <w:rsid w:val="3FB670CD"/>
    <w:rsid w:val="3FFD74CE"/>
    <w:rsid w:val="425B34CD"/>
    <w:rsid w:val="44CF2576"/>
    <w:rsid w:val="450029BC"/>
    <w:rsid w:val="45ED2898"/>
    <w:rsid w:val="465A331F"/>
    <w:rsid w:val="47B84BE4"/>
    <w:rsid w:val="485F744D"/>
    <w:rsid w:val="48EA1863"/>
    <w:rsid w:val="48F92149"/>
    <w:rsid w:val="49B8032B"/>
    <w:rsid w:val="4B9767DE"/>
    <w:rsid w:val="4ED15834"/>
    <w:rsid w:val="4EE679B3"/>
    <w:rsid w:val="4F737FDA"/>
    <w:rsid w:val="4FA84F80"/>
    <w:rsid w:val="501F77B8"/>
    <w:rsid w:val="529960E4"/>
    <w:rsid w:val="530A5F9C"/>
    <w:rsid w:val="53C66AC7"/>
    <w:rsid w:val="53FD1738"/>
    <w:rsid w:val="55706A5D"/>
    <w:rsid w:val="567B2014"/>
    <w:rsid w:val="56B62190"/>
    <w:rsid w:val="57E31A57"/>
    <w:rsid w:val="59C20335"/>
    <w:rsid w:val="5BF82781"/>
    <w:rsid w:val="5C084231"/>
    <w:rsid w:val="5C4D583F"/>
    <w:rsid w:val="5D8B5D7A"/>
    <w:rsid w:val="5DF106FD"/>
    <w:rsid w:val="5F820AF5"/>
    <w:rsid w:val="5FCE0484"/>
    <w:rsid w:val="605D1A2A"/>
    <w:rsid w:val="60FB5EA4"/>
    <w:rsid w:val="61FD17D3"/>
    <w:rsid w:val="65B12427"/>
    <w:rsid w:val="66A72826"/>
    <w:rsid w:val="678426FC"/>
    <w:rsid w:val="68AB26E8"/>
    <w:rsid w:val="6BF9283F"/>
    <w:rsid w:val="6C831645"/>
    <w:rsid w:val="6E5E49FE"/>
    <w:rsid w:val="711C6491"/>
    <w:rsid w:val="74CB75FE"/>
    <w:rsid w:val="74F8600D"/>
    <w:rsid w:val="7509188F"/>
    <w:rsid w:val="759D1028"/>
    <w:rsid w:val="75B44954"/>
    <w:rsid w:val="76655FD9"/>
    <w:rsid w:val="7A242B0F"/>
    <w:rsid w:val="7A3F2D58"/>
    <w:rsid w:val="7A5F0B9A"/>
    <w:rsid w:val="7B6A4196"/>
    <w:rsid w:val="7B7C18C0"/>
    <w:rsid w:val="7C3601CE"/>
    <w:rsid w:val="7CFF1186"/>
    <w:rsid w:val="7D3B70ED"/>
    <w:rsid w:val="7D8E2708"/>
    <w:rsid w:val="7DF8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link w:val="23"/>
    <w:autoRedefine/>
    <w:qFormat/>
    <w:uiPriority w:val="0"/>
    <w:pPr>
      <w:keepNext/>
      <w:keepLines/>
      <w:numPr>
        <w:ilvl w:val="0"/>
        <w:numId w:val="1"/>
      </w:numPr>
      <w:tabs>
        <w:tab w:val="left" w:pos="420"/>
      </w:tabs>
      <w:snapToGrid w:val="0"/>
      <w:spacing w:before="100" w:beforeLines="100" w:after="100" w:afterLines="100" w:line="240" w:lineRule="auto"/>
      <w:ind w:left="432" w:hanging="432" w:firstLineChars="0"/>
      <w:jc w:val="center"/>
      <w:outlineLvl w:val="0"/>
    </w:pPr>
    <w:rPr>
      <w:rFonts w:eastAsia="宋体" w:cs="Times New Roman"/>
      <w:b/>
      <w:kern w:val="44"/>
      <w:sz w:val="36"/>
    </w:rPr>
  </w:style>
  <w:style w:type="paragraph" w:styleId="5">
    <w:name w:val="heading 2"/>
    <w:basedOn w:val="1"/>
    <w:next w:val="1"/>
    <w:link w:val="29"/>
    <w:autoRedefine/>
    <w:semiHidden/>
    <w:unhideWhenUsed/>
    <w:qFormat/>
    <w:uiPriority w:val="0"/>
    <w:pPr>
      <w:keepNext/>
      <w:keepLines/>
      <w:tabs>
        <w:tab w:val="left" w:pos="420"/>
      </w:tabs>
      <w:adjustRightInd w:val="0"/>
      <w:snapToGrid w:val="0"/>
      <w:spacing w:before="50" w:beforeLines="50" w:after="50" w:afterLines="50" w:line="240" w:lineRule="auto"/>
      <w:ind w:left="573" w:hanging="573"/>
      <w:outlineLvl w:val="1"/>
    </w:pPr>
    <w:rPr>
      <w:rFonts w:asciiTheme="minorAscii" w:hAnsiTheme="minorAscii" w:eastAsiaTheme="minorEastAsia"/>
      <w:sz w:val="32"/>
      <w:szCs w:val="32"/>
    </w:rPr>
  </w:style>
  <w:style w:type="paragraph" w:styleId="6">
    <w:name w:val="heading 3"/>
    <w:basedOn w:val="1"/>
    <w:next w:val="1"/>
    <w:link w:val="26"/>
    <w:autoRedefine/>
    <w:semiHidden/>
    <w:unhideWhenUsed/>
    <w:qFormat/>
    <w:uiPriority w:val="0"/>
    <w:pPr>
      <w:keepNext/>
      <w:keepLines/>
      <w:numPr>
        <w:ilvl w:val="2"/>
        <w:numId w:val="1"/>
      </w:numPr>
      <w:tabs>
        <w:tab w:val="left" w:pos="2101"/>
      </w:tabs>
      <w:spacing w:before="50" w:beforeLines="50" w:after="50" w:afterLines="50"/>
      <w:ind w:left="720" w:hanging="720" w:firstLineChars="0"/>
      <w:jc w:val="left"/>
      <w:outlineLvl w:val="2"/>
    </w:pPr>
    <w:rPr>
      <w:rFonts w:ascii="Times New Roman" w:hAnsi="Times New Roman" w:eastAsia="黑体" w:cs="Times New Roman"/>
      <w:b/>
      <w:bCs/>
      <w:sz w:val="28"/>
      <w:szCs w:val="32"/>
    </w:rPr>
  </w:style>
  <w:style w:type="paragraph" w:styleId="7">
    <w:name w:val="heading 4"/>
    <w:basedOn w:val="1"/>
    <w:next w:val="1"/>
    <w:link w:val="25"/>
    <w:autoRedefine/>
    <w:semiHidden/>
    <w:unhideWhenUsed/>
    <w:qFormat/>
    <w:uiPriority w:val="0"/>
    <w:pPr>
      <w:keepNext/>
      <w:keepLines/>
      <w:numPr>
        <w:ilvl w:val="3"/>
        <w:numId w:val="1"/>
      </w:numPr>
      <w:adjustRightInd w:val="0"/>
      <w:snapToGrid w:val="0"/>
      <w:spacing w:line="500" w:lineRule="exact"/>
      <w:ind w:left="864" w:hanging="864" w:firstLineChars="0"/>
      <w:jc w:val="left"/>
      <w:outlineLvl w:val="3"/>
    </w:pPr>
    <w:rPr>
      <w:rFonts w:ascii="Cambria" w:hAnsi="Cambria"/>
      <w:b/>
      <w:bCs/>
      <w:szCs w:val="28"/>
    </w:rPr>
  </w:style>
  <w:style w:type="paragraph" w:styleId="8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tabs>
        <w:tab w:val="left" w:pos="420"/>
      </w:tabs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9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1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autoRedefine/>
    <w:semiHidden/>
    <w:unhideWhenUsed/>
    <w:qFormat/>
    <w:uiPriority w:val="1"/>
  </w:style>
  <w:style w:type="table" w:default="1" w:styleId="2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left="0" w:leftChars="0" w:firstLine="420" w:firstLineChars="200"/>
    </w:pPr>
    <w:rPr>
      <w:rFonts w:ascii="宋体" w:hAnsi="宋体" w:eastAsia="宋体" w:cs="宋体"/>
    </w:rPr>
  </w:style>
  <w:style w:type="paragraph" w:styleId="3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13">
    <w:name w:val="Normal Indent"/>
    <w:basedOn w:val="1"/>
    <w:autoRedefine/>
    <w:qFormat/>
    <w:uiPriority w:val="0"/>
    <w:pPr>
      <w:widowControl w:val="0"/>
      <w:spacing w:line="500" w:lineRule="exact"/>
      <w:ind w:firstLine="420"/>
      <w:jc w:val="left"/>
    </w:pPr>
    <w:rPr>
      <w:rFonts w:ascii="Times New Roman" w:hAnsi="Times New Roman" w:eastAsia="宋体" w:cs="Times New Roman"/>
      <w:sz w:val="28"/>
      <w:szCs w:val="21"/>
    </w:rPr>
  </w:style>
  <w:style w:type="paragraph" w:styleId="14">
    <w:name w:val="caption"/>
    <w:basedOn w:val="1"/>
    <w:next w:val="1"/>
    <w:autoRedefine/>
    <w:semiHidden/>
    <w:unhideWhenUsed/>
    <w:qFormat/>
    <w:uiPriority w:val="0"/>
    <w:pPr>
      <w:spacing w:before="50" w:beforeLines="50" w:after="50" w:afterLines="50" w:line="240" w:lineRule="auto"/>
      <w:ind w:firstLine="0" w:firstLineChars="0"/>
      <w:jc w:val="center"/>
    </w:pPr>
    <w:rPr>
      <w:b/>
      <w:sz w:val="24"/>
    </w:rPr>
  </w:style>
  <w:style w:type="paragraph" w:styleId="15">
    <w:name w:val="Body Text"/>
    <w:basedOn w:val="1"/>
    <w:next w:val="1"/>
    <w:autoRedefine/>
    <w:qFormat/>
    <w:uiPriority w:val="0"/>
    <w:pPr>
      <w:widowControl/>
      <w:snapToGrid w:val="0"/>
      <w:spacing w:before="0" w:after="0" w:line="500" w:lineRule="exact"/>
      <w:ind w:right="0"/>
    </w:pPr>
    <w:rPr>
      <w:rFonts w:ascii="Times New Roman" w:hAnsi="Times New Roman" w:cs="Times New Roman"/>
      <w:kern w:val="0"/>
      <w:sz w:val="28"/>
      <w:szCs w:val="20"/>
    </w:rPr>
  </w:style>
  <w:style w:type="paragraph" w:styleId="16">
    <w:name w:val="toc 3"/>
    <w:basedOn w:val="1"/>
    <w:next w:val="1"/>
    <w:autoRedefine/>
    <w:qFormat/>
    <w:uiPriority w:val="0"/>
    <w:pPr>
      <w:ind w:left="840" w:leftChars="400"/>
    </w:pPr>
    <w:rPr>
      <w:rFonts w:ascii="宋体" w:hAnsi="宋体" w:cs="宋体"/>
      <w:szCs w:val="28"/>
    </w:rPr>
  </w:style>
  <w:style w:type="paragraph" w:styleId="17">
    <w:name w:val="Plain Text"/>
    <w:basedOn w:val="1"/>
    <w:next w:val="1"/>
    <w:link w:val="28"/>
    <w:autoRedefine/>
    <w:qFormat/>
    <w:uiPriority w:val="0"/>
    <w:pPr>
      <w:spacing w:line="500" w:lineRule="exact"/>
      <w:ind w:firstLine="1044" w:firstLineChars="200"/>
      <w:jc w:val="left"/>
    </w:pPr>
    <w:rPr>
      <w:rFonts w:ascii="宋体" w:hAnsi="宋体" w:eastAsia="宋体" w:cs="Times New Roman"/>
      <w:sz w:val="28"/>
      <w:szCs w:val="20"/>
    </w:rPr>
  </w:style>
  <w:style w:type="paragraph" w:styleId="18">
    <w:name w:val="Body Text Indent 2"/>
    <w:basedOn w:val="1"/>
    <w:next w:val="19"/>
    <w:autoRedefine/>
    <w:qFormat/>
    <w:uiPriority w:val="0"/>
    <w:pPr>
      <w:spacing w:line="500" w:lineRule="exact"/>
      <w:ind w:firstLine="480"/>
    </w:pPr>
    <w:rPr>
      <w:rFonts w:ascii="宋体" w:hAnsi="宋体" w:eastAsia="宋体" w:cs="宋体"/>
    </w:rPr>
  </w:style>
  <w:style w:type="paragraph" w:styleId="19">
    <w:name w:val="Body Text First Indent"/>
    <w:basedOn w:val="15"/>
    <w:next w:val="1"/>
    <w:autoRedefine/>
    <w:qFormat/>
    <w:uiPriority w:val="0"/>
    <w:pPr>
      <w:ind w:firstLine="723" w:firstLineChars="200"/>
    </w:pPr>
    <w:rPr>
      <w:rFonts w:ascii="Times New Roman" w:hAnsi="Times New Roman" w:eastAsia="宋体" w:cs="Times New Roman"/>
    </w:rPr>
  </w:style>
  <w:style w:type="paragraph" w:styleId="20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23">
    <w:name w:val="标题 1 字符"/>
    <w:basedOn w:val="22"/>
    <w:link w:val="4"/>
    <w:autoRedefine/>
    <w:qFormat/>
    <w:uiPriority w:val="9"/>
    <w:rPr>
      <w:rFonts w:ascii="宋体" w:hAnsi="宋体" w:eastAsia="宋体" w:cs="Times New Roman"/>
      <w:b/>
      <w:kern w:val="44"/>
      <w:sz w:val="36"/>
      <w:szCs w:val="28"/>
    </w:rPr>
  </w:style>
  <w:style w:type="character" w:customStyle="1" w:styleId="24">
    <w:name w:val="标题 2 字符"/>
    <w:link w:val="5"/>
    <w:autoRedefine/>
    <w:qFormat/>
    <w:uiPriority w:val="0"/>
    <w:rPr>
      <w:rFonts w:ascii="Arial" w:hAnsi="Arial" w:eastAsia="宋体" w:cs="Times New Roman"/>
      <w:b/>
      <w:kern w:val="2"/>
      <w:sz w:val="32"/>
      <w:szCs w:val="32"/>
    </w:rPr>
  </w:style>
  <w:style w:type="character" w:customStyle="1" w:styleId="25">
    <w:name w:val="标题 4 字符"/>
    <w:basedOn w:val="22"/>
    <w:link w:val="7"/>
    <w:autoRedefine/>
    <w:semiHidden/>
    <w:qFormat/>
    <w:uiPriority w:val="9"/>
    <w:rPr>
      <w:rFonts w:ascii="宋体" w:hAnsi="宋体" w:eastAsia="宋体" w:cs="宋体"/>
      <w:b/>
      <w:kern w:val="2"/>
      <w:sz w:val="28"/>
      <w:szCs w:val="28"/>
    </w:rPr>
  </w:style>
  <w:style w:type="character" w:customStyle="1" w:styleId="26">
    <w:name w:val="标题 3 字符"/>
    <w:link w:val="6"/>
    <w:autoRedefine/>
    <w:qFormat/>
    <w:uiPriority w:val="0"/>
    <w:rPr>
      <w:rFonts w:ascii="Times New Roman" w:hAnsi="Times New Roman" w:eastAsia="宋体" w:cs="Times New Roman"/>
      <w:b/>
      <w:bCs/>
      <w:sz w:val="30"/>
      <w:szCs w:val="28"/>
    </w:rPr>
  </w:style>
  <w:style w:type="paragraph" w:customStyle="1" w:styleId="27">
    <w:name w:val="首行缩进"/>
    <w:basedOn w:val="1"/>
    <w:autoRedefine/>
    <w:qFormat/>
    <w:uiPriority w:val="0"/>
    <w:pPr>
      <w:snapToGrid w:val="0"/>
      <w:spacing w:line="500" w:lineRule="exact"/>
      <w:ind w:firstLine="482"/>
    </w:pPr>
    <w:rPr>
      <w:rFonts w:ascii="宋体" w:hAnsi="宋体" w:cs="宋体"/>
    </w:rPr>
  </w:style>
  <w:style w:type="character" w:customStyle="1" w:styleId="28">
    <w:name w:val="纯文本 Char"/>
    <w:basedOn w:val="22"/>
    <w:link w:val="17"/>
    <w:autoRedefine/>
    <w:qFormat/>
    <w:uiPriority w:val="0"/>
    <w:rPr>
      <w:rFonts w:ascii="宋体" w:hAnsi="宋体" w:eastAsia="宋体" w:cs="Times New Roman"/>
      <w:sz w:val="28"/>
      <w:szCs w:val="20"/>
    </w:rPr>
  </w:style>
  <w:style w:type="character" w:customStyle="1" w:styleId="29">
    <w:name w:val="标题 2 Char"/>
    <w:link w:val="5"/>
    <w:autoRedefine/>
    <w:qFormat/>
    <w:uiPriority w:val="0"/>
    <w:rPr>
      <w:rFonts w:ascii="Arial" w:hAnsi="Arial" w:eastAsia="黑体" w:cs="Times New Roman"/>
      <w:b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2022-12-05T08:53:00Z</dcterms:created>
  <dc:creator>罗龘</dc:creator>
  <cp:lastModifiedBy>lyypzq</cp:lastModifiedBy>
  <dcterms:modified xsi:type="dcterms:W3CDTF">2024-03-25T09:30:03Z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AA82D9D2DE4849219C8B80EAF5F9D222_13</vt:lpwstr>
  </property>
</Properties>
</file>